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b/>
          <w:bCs/>
          <w:i w:val="0"/>
          <w:iCs w:val="0"/>
          <w:caps w:val="0"/>
          <w:color w:val="4B4B4B"/>
          <w:spacing w:val="0"/>
          <w:sz w:val="24"/>
          <w:szCs w:val="24"/>
          <w:bdr w:val="none" w:color="auto" w:sz="0" w:space="0"/>
          <w:shd w:val="clear" w:fill="FFFFFF"/>
        </w:rPr>
        <w:t>最高人民法院 最高人民检察院</w:t>
      </w:r>
      <w:r>
        <w:rPr>
          <w:rFonts w:hint="eastAsia" w:ascii="微软雅黑" w:hAnsi="微软雅黑" w:eastAsia="微软雅黑" w:cs="微软雅黑"/>
          <w:b/>
          <w:bCs/>
          <w:i w:val="0"/>
          <w:iCs w:val="0"/>
          <w:caps w:val="0"/>
          <w:color w:val="4B4B4B"/>
          <w:spacing w:val="0"/>
          <w:sz w:val="24"/>
          <w:szCs w:val="24"/>
          <w:bdr w:val="none" w:color="auto" w:sz="0" w:space="0"/>
          <w:shd w:val="clear" w:fill="FFFFFF"/>
          <w:lang w:val="en-US" w:eastAsia="zh-CN"/>
        </w:rPr>
        <w:t xml:space="preserve"> </w:t>
      </w:r>
      <w:bookmarkStart w:id="0" w:name="_GoBack"/>
      <w:bookmarkEnd w:id="0"/>
      <w:r>
        <w:rPr>
          <w:rFonts w:hint="eastAsia" w:ascii="微软雅黑" w:hAnsi="微软雅黑" w:eastAsia="微软雅黑" w:cs="微软雅黑"/>
          <w:b/>
          <w:bCs/>
          <w:i w:val="0"/>
          <w:iCs w:val="0"/>
          <w:caps w:val="0"/>
          <w:color w:val="4B4B4B"/>
          <w:spacing w:val="0"/>
          <w:sz w:val="24"/>
          <w:szCs w:val="24"/>
          <w:bdr w:val="none" w:color="auto" w:sz="0" w:space="0"/>
          <w:shd w:val="clear" w:fill="FFFFFF"/>
        </w:rPr>
        <w:t>教育部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b/>
          <w:bCs/>
          <w:i w:val="0"/>
          <w:iCs w:val="0"/>
          <w:caps w:val="0"/>
          <w:color w:val="4B4B4B"/>
          <w:spacing w:val="0"/>
          <w:sz w:val="24"/>
          <w:szCs w:val="24"/>
          <w:bdr w:val="none" w:color="auto" w:sz="0" w:space="0"/>
          <w:shd w:val="clear" w:fill="FFFFFF"/>
        </w:rPr>
        <w:t>关于落实从业禁止制度的意见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为贯彻落实学校、幼儿园等教育机构、校外培训机构教职员工违法犯罪记录查询制度，严格执行犯罪人员从业禁止制度，净化校园环境，切实保护未成年人，根据《中华人民共和国刑法》（以下简称《刑法》）、《中华人民共和国未成年人保护法》（以下简称《未成年人保护法》）、《中华人民共和国教师法》（以下简称《教师法》）等法律规定，提出如下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一、依照《刑法》第三十七条之一的规定，教职员工利用职业便利实施犯罪，或者实施违背职业要求的特定义务的犯罪被判处刑罚的，人民法院可以根据犯罪情况和预防再犯罪的需要，禁止其在一定期限内从事相关职业。其他法律、行政法规对其从事相关职业另有禁止或者限制性规定的，从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《未成年人保护法》、《教师法》属于前款规定的法律，《教师资格条例》属于前款规定的行政法规。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二、依照《未成年人保护法》第六十二条的规定，实施性侵害、虐待、拐卖、暴力伤害等违法犯罪的人员，禁止从事密切接触未成年人的工作。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依照《教师法》第十四条、《教师资格条例》第十八条规定，受到剥夺政治权利或者故意犯罪受到有期徒刑以上刑罚的，不能取得教师资格；已经取得教师资格的，丧失教师资格，且不能重新取得教师资格。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三、教职员工实施性侵害、虐待、拐卖、暴力伤害等犯罪的，人民法院应当依照《未成年人保护法》第六十二条的规定，判决禁止其从事密切接触未成年人的工作。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教职员工实施前款规定以外的其他犯罪，人民法院可以根据犯罪情况和预防再犯罪的需要，依照《刑法》第三十七条之一第一款的规定，判决禁止其自刑罚执行完毕之日或者假释之日起从事相关职业，期限为三年至五年；或者依照《刑法》第三十八条第二款、第七十二条第二款的规定，对其适用禁止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四、对有必要禁止教职员工从事相关职业或者适用禁止令的，人民检察院在提起公诉时，应当提出相应建议。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五、教职员工犯罪的刑事案件，判决生效后，人民法院应当在三十日内将裁判文书送达被告人单位所在地的教育行政部门；必要时，教育行政部门应当将裁判文书转送有关主管部门。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因涉及未成年人隐私等原因，不宜送达裁判文书的，可以送达载明被告人的自然情况、罪名及刑期的相关证明材料。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六、教职员工犯罪，人民法院作出的判决生效后，所在单位、教育行政部门或者有关主管部门可以依照《未成年人保护法》、《教师法》、《教师资格条例》等法律法规给予相应处理、处分和处罚。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符合丧失教师资格或者撤销教师资格情形的，教育行政部门应当及时收缴其教师资格证书。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七、人民检察院应当对从业禁止和禁止令执行落实情况进行监督。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八、人民法院、人民检察院发现有关单位未履行犯罪记录查询制度、从业禁止制度的，应当向该单位提出建议。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九、本意见所称教职员工，是指在学校、幼儿园等教育机构工作的教师、教育教学辅助人员、行政人员、勤杂人员、安保人员，以及校外培训机构的相关工作人员。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学校、幼儿园等教育机构、校外培训机构的举办者、实际控制人犯罪，参照本意见执行。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十、本意见自2022年11月15日起施行。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ViMThiOGQzMWI1Nzg5NGJmMzZmZjg1ZjZlOTljMjcifQ=="/>
  </w:docVars>
  <w:rsids>
    <w:rsidRoot w:val="357F0747"/>
    <w:rsid w:val="357F0747"/>
    <w:rsid w:val="3CEB41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